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eastAsia="黑体"/>
          <w:sz w:val="32"/>
          <w:szCs w:val="32"/>
        </w:rPr>
      </w:pPr>
    </w:p>
    <w:p>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2024年度天津市艺术科学规划项目课题指南</w:t>
      </w:r>
    </w:p>
    <w:p>
      <w:pPr>
        <w:keepNext w:val="0"/>
        <w:keepLines w:val="0"/>
        <w:pageBreakBefore w:val="0"/>
        <w:widowControl w:val="0"/>
        <w:kinsoku/>
        <w:wordWrap/>
        <w:overflowPunct/>
        <w:topLinePunct w:val="0"/>
        <w:autoSpaceDE/>
        <w:autoSpaceDN/>
        <w:bidi w:val="0"/>
        <w:spacing w:line="600" w:lineRule="exact"/>
        <w:textAlignment w:val="auto"/>
        <w:outlineLvl w:val="9"/>
        <w:rPr>
          <w:sz w:val="32"/>
          <w:szCs w:val="32"/>
        </w:rPr>
      </w:pPr>
      <w:r>
        <w:rPr>
          <w:sz w:val="32"/>
          <w:szCs w:val="32"/>
        </w:rPr>
        <w:t xml:space="preserve">  </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hint="eastAsia" w:ascii="仿宋_GB2312" w:eastAsia="仿宋_GB2312"/>
          <w:sz w:val="32"/>
          <w:szCs w:val="32"/>
        </w:rPr>
      </w:pPr>
      <w:r>
        <w:rPr>
          <w:rFonts w:hint="eastAsia" w:ascii="仿宋_GB2312" w:eastAsia="仿宋_GB2312"/>
          <w:sz w:val="32"/>
          <w:szCs w:val="32"/>
        </w:rPr>
        <w:t>《2024年度天津市艺术科学规划项目课题指南》的制定</w:t>
      </w:r>
      <w:r>
        <w:rPr>
          <w:rFonts w:hint="eastAsia" w:ascii="仿宋_GB2312" w:hAnsi="Times New Roman" w:eastAsia="仿宋_GB2312"/>
          <w:sz w:val="32"/>
          <w:szCs w:val="32"/>
        </w:rPr>
        <w:t>在于基本确定2024年度我市艺术科研的重点领域和研究方向，聚焦事关天津文化艺术事业发展的重大理论和现实问题、重要基础和前沿问题，</w:t>
      </w:r>
      <w:r>
        <w:rPr>
          <w:rFonts w:hint="eastAsia" w:ascii="仿宋_GB2312" w:eastAsia="仿宋_GB2312"/>
          <w:sz w:val="32"/>
          <w:szCs w:val="32"/>
        </w:rPr>
        <w:t>为政府决策部门、天津市艺术科研机构、高等院校和社会各界有关人士提供决策参谋与学科研究参考。</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根据突出重点、兼顾一般、控制规模、提高质量的要求，《课题指南》分为重点课题研究与一般课题研究两大类。重点课题将对促进本市文化艺术发展的重大现实问题研究给予重点关注，以充分发挥项目的决策咨询功能，为文化旅游事业发展提供理论支持。申报者必须以该课题题目与所标注成果形式申报。其中，带</w:t>
      </w:r>
      <w:r>
        <w:rPr>
          <w:rFonts w:hint="eastAsia" w:ascii="仿宋_GB2312" w:hAnsi="仿宋_GB2312" w:eastAsia="仿宋_GB2312" w:cs="仿宋_GB2312"/>
          <w:sz w:val="32"/>
          <w:szCs w:val="32"/>
        </w:rPr>
        <w:t>*标识的为急需研究的科研选题</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为切实提高规划能力和研究水平，2024年度天津市艺术科学规划项目的评审立项在选题上应注意处理好几个方面的关系：</w:t>
      </w:r>
      <w:r>
        <w:rPr>
          <w:rFonts w:hint="eastAsia" w:ascii="仿宋_GB2312" w:eastAsia="仿宋_GB2312"/>
          <w:sz w:val="32"/>
          <w:szCs w:val="32"/>
        </w:rPr>
        <w:br w:type="textWrapping"/>
      </w:r>
      <w:r>
        <w:rPr>
          <w:rFonts w:hint="eastAsia" w:ascii="仿宋_GB2312" w:eastAsia="仿宋_GB2312"/>
          <w:sz w:val="32"/>
          <w:szCs w:val="32"/>
        </w:rPr>
        <w:t>　　1.注意处理好总结历史、研究现实与把握未来三者之间的关系，将综合研究和分类研究结合起来、国际研究和国内研究结合起来、学科研究和地区研究结合起来，努力使研究项目体现出科学性、时代性与前瞻性。</w:t>
      </w:r>
      <w:r>
        <w:rPr>
          <w:rFonts w:hint="eastAsia" w:ascii="仿宋_GB2312" w:eastAsia="仿宋_GB2312"/>
          <w:sz w:val="32"/>
          <w:szCs w:val="32"/>
        </w:rPr>
        <w:br w:type="textWrapping"/>
      </w:r>
      <w:r>
        <w:rPr>
          <w:rFonts w:hint="eastAsia" w:ascii="仿宋_GB2312" w:eastAsia="仿宋_GB2312"/>
          <w:sz w:val="32"/>
          <w:szCs w:val="32"/>
        </w:rPr>
        <w:t>　　2.注意处理好理论与实践相统一的关系，防止理论与实践脱节的倾向。</w:t>
      </w:r>
      <w:r>
        <w:rPr>
          <w:rFonts w:hint="eastAsia" w:ascii="仿宋_GB2312" w:eastAsia="仿宋_GB2312"/>
          <w:sz w:val="32"/>
          <w:szCs w:val="32"/>
        </w:rPr>
        <w:br w:type="textWrapping"/>
      </w:r>
      <w:r>
        <w:rPr>
          <w:rFonts w:hint="eastAsia" w:ascii="仿宋_GB2312" w:eastAsia="仿宋_GB2312"/>
          <w:sz w:val="32"/>
          <w:szCs w:val="32"/>
        </w:rPr>
        <w:t>　　3.注意处理好共性和个性的关系，既要认真开展对当前文艺建设和发展有普遍指导意义的课题研究，也要针对本学科领域和本地区存在的特殊问题，深入开展个案研究和实证性研究。</w:t>
      </w:r>
      <w:r>
        <w:rPr>
          <w:rFonts w:hint="eastAsia" w:ascii="仿宋_GB2312" w:eastAsia="仿宋_GB2312"/>
          <w:sz w:val="32"/>
          <w:szCs w:val="32"/>
        </w:rPr>
        <w:br w:type="textWrapping"/>
      </w:r>
      <w:r>
        <w:rPr>
          <w:rFonts w:hint="eastAsia" w:ascii="仿宋_GB2312" w:eastAsia="仿宋_GB2312"/>
          <w:sz w:val="32"/>
          <w:szCs w:val="32"/>
        </w:rPr>
        <w:t>　　4.注重控制数量，提升质量，避免低水平重复选题，多出精品力作，切实提高天津艺术科学研究的整体水平。</w:t>
      </w:r>
      <w:r>
        <w:rPr>
          <w:rFonts w:hint="eastAsia" w:ascii="仿宋_GB2312" w:eastAsia="仿宋_GB2312"/>
          <w:sz w:val="32"/>
          <w:szCs w:val="32"/>
        </w:rPr>
        <w:br w:type="textWrapping"/>
      </w:r>
      <w:r>
        <w:rPr>
          <w:rFonts w:hint="eastAsia" w:ascii="仿宋_GB2312" w:eastAsia="仿宋_GB2312"/>
          <w:sz w:val="32"/>
          <w:szCs w:val="32"/>
        </w:rPr>
        <w:t>　　5.提倡定性研究与定量研究、理论研究与实证研究相结合，实现研究方法的科学性、规范性和严谨性。</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600" w:lineRule="exact"/>
        <w:textAlignment w:val="auto"/>
        <w:outlineLvl w:val="9"/>
        <w:rPr>
          <w:rFonts w:ascii="仿宋_GB2312" w:eastAsia="仿宋_GB2312"/>
          <w:sz w:val="32"/>
          <w:szCs w:val="32"/>
        </w:rPr>
      </w:pPr>
      <w:r>
        <w:rPr>
          <w:rFonts w:hint="eastAsia" w:ascii="仿宋_GB2312" w:eastAsia="仿宋_GB2312"/>
          <w:b/>
          <w:bCs/>
          <w:sz w:val="32"/>
          <w:szCs w:val="32"/>
        </w:rPr>
        <w:t>重点课题研究</w:t>
      </w:r>
    </w:p>
    <w:p>
      <w:pPr>
        <w:pStyle w:val="9"/>
        <w:keepNext w:val="0"/>
        <w:keepLines w:val="0"/>
        <w:pageBreakBefore w:val="0"/>
        <w:widowControl w:val="0"/>
        <w:kinsoku/>
        <w:wordWrap/>
        <w:overflowPunct/>
        <w:topLinePunct w:val="0"/>
        <w:autoSpaceDE/>
        <w:autoSpaceDN/>
        <w:bidi w:val="0"/>
        <w:spacing w:line="600" w:lineRule="exact"/>
        <w:ind w:firstLine="605"/>
        <w:textAlignment w:val="auto"/>
        <w:outlineLvl w:val="9"/>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hAnsi="Calibri" w:eastAsia="仿宋_GB2312"/>
          <w:sz w:val="32"/>
          <w:szCs w:val="32"/>
        </w:rPr>
        <w:t>习近平新时代中国特色社会主义文化艺术重要论述研究</w:t>
      </w:r>
      <w:r>
        <w:rPr>
          <w:rFonts w:hint="eastAsia" w:ascii="仿宋_GB2312" w:eastAsia="仿宋_GB2312"/>
          <w:sz w:val="32"/>
          <w:szCs w:val="32"/>
        </w:rPr>
        <w:t>（研究报告）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京津冀文化和旅游协同发展策略研究（研究报告）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eastAsia="仿宋_GB2312"/>
          <w:sz w:val="32"/>
          <w:szCs w:val="32"/>
        </w:rPr>
        <w:t>3</w:t>
      </w:r>
      <w:r>
        <w:rPr>
          <w:rFonts w:hint="eastAsia" w:ascii="仿宋_GB2312" w:hAnsi="仿宋_GB2312" w:eastAsia="仿宋_GB2312" w:cs="仿宋_GB2312"/>
          <w:sz w:val="32"/>
          <w:szCs w:val="32"/>
        </w:rPr>
        <w:t>.</w:t>
      </w:r>
      <w:r>
        <w:rPr>
          <w:rFonts w:hint="eastAsia" w:ascii="仿宋_GB2312" w:eastAsia="仿宋_GB2312"/>
          <w:sz w:val="32"/>
          <w:szCs w:val="32"/>
        </w:rPr>
        <w:t>天津“山、海、河、楼、烟火气”文化旅游带建设发展研究（研究报告）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天津文旅融合高质量发展路径研究（研究报告）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*5.天津旅游对外合作与宣传推广研究（研究报告）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大运河（天津段）文化带可持续发展研究（研究报告）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*7.</w:t>
      </w:r>
      <w:r>
        <w:rPr>
          <w:rFonts w:hint="eastAsia" w:ascii="仿宋_GB2312" w:eastAsia="仿宋_GB2312"/>
          <w:sz w:val="32"/>
          <w:szCs w:val="32"/>
        </w:rPr>
        <w:t>天津繁荣演出市场机制体制研究（研究报告）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天津舞台艺术精品创作题材研究（研究报告）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天津城市艺术形象与艺术生态研究（研究报告）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天津舞台艺术剧目创作高质量发展路径研究（研究报告）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天津新时代文艺人才培养机制研究（研究报告）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天津文化遗产传承保护发展研究（研究报告）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天津红色文化遗产资源“活化”利用研究（研究报告）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天津非物质文化遗产系统性保护与可持续发展研究（研究报告）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天津非遗传承人群体研修研培机制研究（研究报告）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天津非物质文化遗产代表性项目管理机制研究（研究报告）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*17.</w:t>
      </w:r>
      <w:r>
        <w:rPr>
          <w:rFonts w:hint="eastAsia" w:ascii="仿宋_GB2312" w:eastAsia="仿宋_GB2312"/>
          <w:sz w:val="32"/>
          <w:szCs w:val="32"/>
        </w:rPr>
        <w:t>天津公共文化服务品牌建设研究（研究报告）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18.</w:t>
      </w:r>
      <w:r>
        <w:rPr>
          <w:rFonts w:hint="eastAsia" w:ascii="仿宋_GB2312" w:eastAsia="仿宋_GB2312"/>
          <w:sz w:val="32"/>
          <w:szCs w:val="32"/>
        </w:rPr>
        <w:t>公共文化服务高质量发展助力港产城融合发展研究（研究报告）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19.天津文化艺术资源开发利用研究</w:t>
      </w:r>
      <w:r>
        <w:rPr>
          <w:rFonts w:hint="eastAsia" w:ascii="仿宋_GB2312" w:eastAsia="仿宋_GB2312"/>
          <w:sz w:val="32"/>
          <w:szCs w:val="32"/>
        </w:rPr>
        <w:t>（研究报告）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20.文旅融合视阈下天津城市IP形象研究</w:t>
      </w:r>
      <w:r>
        <w:rPr>
          <w:rFonts w:hint="eastAsia" w:ascii="仿宋_GB2312" w:eastAsia="仿宋_GB2312"/>
          <w:sz w:val="32"/>
          <w:szCs w:val="32"/>
        </w:rPr>
        <w:t>（研究报告）</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21.</w:t>
      </w:r>
      <w:r>
        <w:rPr>
          <w:rFonts w:hint="eastAsia" w:ascii="仿宋_GB2312" w:eastAsia="仿宋_GB2312"/>
          <w:sz w:val="32"/>
          <w:szCs w:val="32"/>
        </w:rPr>
        <w:t>天津音乐史（专著）</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22.天津话剧史（专著）</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23.天津杂技史（专著）</w:t>
      </w:r>
    </w:p>
    <w:p>
      <w:pPr>
        <w:keepNext w:val="0"/>
        <w:keepLines w:val="0"/>
        <w:pageBreakBefore w:val="0"/>
        <w:widowControl w:val="0"/>
        <w:kinsoku/>
        <w:wordWrap/>
        <w:overflowPunct/>
        <w:topLinePunct w:val="0"/>
        <w:autoSpaceDE/>
        <w:autoSpaceDN/>
        <w:bidi w:val="0"/>
        <w:spacing w:line="600" w:lineRule="exact"/>
        <w:textAlignment w:val="auto"/>
        <w:outlineLvl w:val="9"/>
        <w:rPr>
          <w:rFonts w:ascii="仿宋_GB2312" w:eastAsia="仿宋_GB2312"/>
          <w:sz w:val="32"/>
          <w:szCs w:val="32"/>
        </w:rPr>
      </w:pPr>
    </w:p>
    <w:p>
      <w:pPr>
        <w:keepNext w:val="0"/>
        <w:keepLines w:val="0"/>
        <w:pageBreakBefore w:val="0"/>
        <w:widowControl w:val="0"/>
        <w:numPr>
          <w:ilvl w:val="0"/>
          <w:numId w:val="1"/>
        </w:numPr>
        <w:kinsoku/>
        <w:wordWrap/>
        <w:overflowPunct/>
        <w:topLinePunct w:val="0"/>
        <w:autoSpaceDE/>
        <w:autoSpaceDN/>
        <w:bidi w:val="0"/>
        <w:spacing w:line="600" w:lineRule="exact"/>
        <w:textAlignment w:val="auto"/>
        <w:outlineLvl w:val="9"/>
        <w:rPr>
          <w:rFonts w:ascii="仿宋_GB2312" w:eastAsia="仿宋_GB2312"/>
          <w:b/>
          <w:bCs/>
          <w:sz w:val="32"/>
          <w:szCs w:val="32"/>
        </w:rPr>
      </w:pPr>
      <w:r>
        <w:rPr>
          <w:rFonts w:hint="eastAsia" w:ascii="仿宋_GB2312" w:eastAsia="仿宋_GB2312"/>
          <w:b/>
          <w:bCs/>
          <w:sz w:val="32"/>
          <w:szCs w:val="32"/>
        </w:rPr>
        <w:t>一般课题研究</w:t>
      </w:r>
    </w:p>
    <w:p>
      <w:pPr>
        <w:keepNext w:val="0"/>
        <w:keepLines w:val="0"/>
        <w:pageBreakBefore w:val="0"/>
        <w:widowControl w:val="0"/>
        <w:kinsoku/>
        <w:wordWrap/>
        <w:overflowPunct/>
        <w:topLinePunct w:val="0"/>
        <w:autoSpaceDE/>
        <w:autoSpaceDN/>
        <w:bidi w:val="0"/>
        <w:spacing w:line="600" w:lineRule="exact"/>
        <w:ind w:left="420" w:firstLine="303" w:firstLineChars="100"/>
        <w:jc w:val="center"/>
        <w:textAlignment w:val="auto"/>
        <w:outlineLvl w:val="9"/>
        <w:rPr>
          <w:rFonts w:ascii="仿宋_GB2312" w:eastAsia="仿宋_GB2312"/>
          <w:b/>
          <w:bCs/>
          <w:sz w:val="32"/>
          <w:szCs w:val="32"/>
        </w:rPr>
      </w:pPr>
      <w:bookmarkStart w:id="0" w:name="_GoBack"/>
      <w:bookmarkEnd w:id="0"/>
      <w:r>
        <w:rPr>
          <w:rFonts w:hint="eastAsia" w:ascii="仿宋_GB2312" w:eastAsia="仿宋_GB2312"/>
          <w:b/>
          <w:bCs/>
          <w:sz w:val="32"/>
          <w:szCs w:val="32"/>
        </w:rPr>
        <w:t>艺术基础理论</w:t>
      </w:r>
    </w:p>
    <w:p>
      <w:pPr>
        <w:keepNext w:val="0"/>
        <w:keepLines w:val="0"/>
        <w:pageBreakBefore w:val="0"/>
        <w:widowControl w:val="0"/>
        <w:kinsoku/>
        <w:wordWrap/>
        <w:overflowPunct/>
        <w:topLinePunct w:val="0"/>
        <w:autoSpaceDE/>
        <w:autoSpaceDN/>
        <w:bidi w:val="0"/>
        <w:spacing w:line="600" w:lineRule="exact"/>
        <w:ind w:firstLine="606" w:firstLineChars="200"/>
        <w:textAlignment w:val="auto"/>
        <w:outlineLvl w:val="9"/>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马克思主义艺术理论继承与发展研究</w:t>
      </w:r>
    </w:p>
    <w:p>
      <w:pPr>
        <w:keepNext w:val="0"/>
        <w:keepLines w:val="0"/>
        <w:pageBreakBefore w:val="0"/>
        <w:widowControl w:val="0"/>
        <w:kinsoku/>
        <w:wordWrap/>
        <w:overflowPunct/>
        <w:topLinePunct w:val="0"/>
        <w:autoSpaceDE/>
        <w:autoSpaceDN/>
        <w:bidi w:val="0"/>
        <w:spacing w:line="600" w:lineRule="exact"/>
        <w:ind w:firstLine="579" w:firstLineChars="191"/>
        <w:textAlignment w:val="auto"/>
        <w:outlineLvl w:val="9"/>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文化自信与新时代文艺发展研究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新时代文艺评论研究</w:t>
      </w:r>
    </w:p>
    <w:p>
      <w:pPr>
        <w:keepNext w:val="0"/>
        <w:keepLines w:val="0"/>
        <w:pageBreakBefore w:val="0"/>
        <w:widowControl w:val="0"/>
        <w:kinsoku/>
        <w:wordWrap/>
        <w:overflowPunct/>
        <w:topLinePunct w:val="0"/>
        <w:autoSpaceDE/>
        <w:autoSpaceDN/>
        <w:bidi w:val="0"/>
        <w:spacing w:line="600" w:lineRule="exact"/>
        <w:ind w:firstLine="579" w:firstLineChars="191"/>
        <w:textAlignment w:val="auto"/>
        <w:outlineLvl w:val="9"/>
        <w:rPr>
          <w:rFonts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艺术学学科体系、学术体系、话语体系研究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5.</w:t>
      </w:r>
      <w:r>
        <w:rPr>
          <w:rFonts w:hint="eastAsia" w:ascii="仿宋_GB2312" w:eastAsia="仿宋_GB2312"/>
          <w:sz w:val="32"/>
          <w:szCs w:val="32"/>
        </w:rPr>
        <w:t>艺术史、艺术批评史研究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艺术跨门类、跨学科研究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7.</w:t>
      </w:r>
      <w:r>
        <w:rPr>
          <w:rFonts w:hint="eastAsia" w:ascii="仿宋_GB2312" w:eastAsia="仿宋_GB2312"/>
          <w:sz w:val="32"/>
          <w:szCs w:val="32"/>
        </w:rPr>
        <w:t>中外艺术观念研究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中国传统艺术创造性转化与创新性发展研究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生态艺术学建构研究</w:t>
      </w:r>
    </w:p>
    <w:p>
      <w:pPr>
        <w:keepNext w:val="0"/>
        <w:keepLines w:val="0"/>
        <w:pageBreakBefore w:val="0"/>
        <w:widowControl w:val="0"/>
        <w:kinsoku/>
        <w:wordWrap/>
        <w:overflowPunct/>
        <w:topLinePunct w:val="0"/>
        <w:autoSpaceDE/>
        <w:autoSpaceDN/>
        <w:bidi w:val="0"/>
        <w:spacing w:line="600" w:lineRule="exact"/>
        <w:ind w:left="567"/>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中国古</w:t>
      </w:r>
      <w:r>
        <w:rPr>
          <w:rFonts w:hint="eastAsia" w:ascii="仿宋_GB2312" w:hAnsi="仿宋_GB2312" w:eastAsia="仿宋_GB2312" w:cs="仿宋_GB2312"/>
          <w:sz w:val="32"/>
          <w:szCs w:val="32"/>
        </w:rPr>
        <w:t>典艺术理论文献外译、传播与接受问题研究</w:t>
      </w:r>
    </w:p>
    <w:p>
      <w:pPr>
        <w:keepNext w:val="0"/>
        <w:keepLines w:val="0"/>
        <w:pageBreakBefore w:val="0"/>
        <w:widowControl w:val="0"/>
        <w:kinsoku/>
        <w:wordWrap/>
        <w:overflowPunct/>
        <w:topLinePunct w:val="0"/>
        <w:autoSpaceDE/>
        <w:autoSpaceDN/>
        <w:bidi w:val="0"/>
        <w:spacing w:line="600" w:lineRule="exact"/>
        <w:ind w:left="420"/>
        <w:jc w:val="center"/>
        <w:textAlignment w:val="auto"/>
        <w:outlineLvl w:val="9"/>
        <w:rPr>
          <w:rFonts w:ascii="仿宋_GB2312" w:eastAsia="仿宋_GB2312"/>
          <w:b/>
          <w:bCs/>
          <w:sz w:val="32"/>
          <w:szCs w:val="32"/>
        </w:rPr>
      </w:pPr>
    </w:p>
    <w:p>
      <w:pPr>
        <w:keepNext w:val="0"/>
        <w:keepLines w:val="0"/>
        <w:pageBreakBefore w:val="0"/>
        <w:widowControl w:val="0"/>
        <w:kinsoku/>
        <w:wordWrap/>
        <w:overflowPunct/>
        <w:topLinePunct w:val="0"/>
        <w:autoSpaceDE/>
        <w:autoSpaceDN/>
        <w:bidi w:val="0"/>
        <w:spacing w:line="600" w:lineRule="exact"/>
        <w:ind w:left="420"/>
        <w:jc w:val="center"/>
        <w:textAlignment w:val="auto"/>
        <w:outlineLvl w:val="9"/>
        <w:rPr>
          <w:rFonts w:ascii="仿宋_GB2312" w:eastAsia="仿宋_GB2312"/>
          <w:b/>
          <w:bCs/>
          <w:sz w:val="32"/>
          <w:szCs w:val="32"/>
        </w:rPr>
      </w:pPr>
      <w:r>
        <w:rPr>
          <w:rFonts w:hint="eastAsia" w:ascii="仿宋_GB2312" w:eastAsia="仿宋_GB2312"/>
          <w:b/>
          <w:bCs/>
          <w:sz w:val="32"/>
          <w:szCs w:val="32"/>
        </w:rPr>
        <w:t>戏曲与曲艺</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1.戏曲新媒体传播现象研究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2.戏曲表演艺术家研究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3.文旅融合背景下戏曲演出研究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木偶戏、皮影戏研究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5.</w:t>
      </w:r>
      <w:r>
        <w:rPr>
          <w:rFonts w:hint="eastAsia" w:ascii="仿宋_GB2312" w:eastAsia="仿宋_GB2312"/>
          <w:sz w:val="32"/>
          <w:szCs w:val="32"/>
        </w:rPr>
        <w:t>天津戏曲改编史研究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hint="eastAsia" w:ascii="仿宋_GB2312" w:hAnsi="Times New Roman"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天津戏</w:t>
      </w:r>
      <w:r>
        <w:rPr>
          <w:rFonts w:hint="eastAsia" w:ascii="仿宋_GB2312" w:hAnsi="Times New Roman" w:eastAsia="仿宋_GB2312"/>
          <w:sz w:val="32"/>
          <w:szCs w:val="32"/>
        </w:rPr>
        <w:t>曲演出史研究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Times New Roman" w:eastAsia="仿宋_GB2312"/>
          <w:sz w:val="32"/>
          <w:szCs w:val="32"/>
        </w:rPr>
      </w:pPr>
      <w:r>
        <w:rPr>
          <w:rFonts w:hint="eastAsia" w:ascii="仿宋_GB2312" w:hAnsi="Times New Roman" w:eastAsia="仿宋_GB2312"/>
          <w:sz w:val="32"/>
          <w:szCs w:val="32"/>
        </w:rPr>
        <w:t>7.天津</w:t>
      </w:r>
      <w:r>
        <w:rPr>
          <w:rFonts w:hint="eastAsia" w:ascii="仿宋_GB2312" w:hAnsi="仿宋_GB2312" w:eastAsia="仿宋_GB2312" w:cs="仿宋_GB2312"/>
          <w:sz w:val="32"/>
          <w:szCs w:val="32"/>
        </w:rPr>
        <w:t>剧种史研究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曲艺创作与表演体系研究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曲艺文献研究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曲艺发展与传播研究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11.曲艺表演艺术家研究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12.曲艺新媒体传播现象研究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13.天津曲种研究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天津曲艺创作研究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15.天津戏曲曲艺音乐研究</w:t>
      </w:r>
    </w:p>
    <w:p>
      <w:pPr>
        <w:keepNext w:val="0"/>
        <w:keepLines w:val="0"/>
        <w:pageBreakBefore w:val="0"/>
        <w:widowControl w:val="0"/>
        <w:kinsoku/>
        <w:wordWrap/>
        <w:overflowPunct/>
        <w:topLinePunct w:val="0"/>
        <w:autoSpaceDE/>
        <w:autoSpaceDN/>
        <w:bidi w:val="0"/>
        <w:spacing w:line="600" w:lineRule="exact"/>
        <w:textAlignment w:val="auto"/>
        <w:outlineLvl w:val="9"/>
        <w:rPr>
          <w:rFonts w:ascii="仿宋_GB2312" w:eastAsia="仿宋_GB2312"/>
          <w:b/>
          <w:bCs/>
          <w:sz w:val="32"/>
          <w:szCs w:val="32"/>
        </w:rPr>
      </w:pPr>
    </w:p>
    <w:p>
      <w:pPr>
        <w:keepNext w:val="0"/>
        <w:keepLines w:val="0"/>
        <w:pageBreakBefore w:val="0"/>
        <w:widowControl w:val="0"/>
        <w:kinsoku/>
        <w:wordWrap/>
        <w:overflowPunct/>
        <w:topLinePunct w:val="0"/>
        <w:autoSpaceDE/>
        <w:autoSpaceDN/>
        <w:bidi w:val="0"/>
        <w:spacing w:line="600" w:lineRule="exact"/>
        <w:ind w:left="420"/>
        <w:jc w:val="center"/>
        <w:textAlignment w:val="auto"/>
        <w:outlineLvl w:val="9"/>
        <w:rPr>
          <w:rFonts w:ascii="仿宋_GB2312" w:eastAsia="仿宋_GB2312"/>
          <w:b/>
          <w:bCs/>
          <w:sz w:val="32"/>
          <w:szCs w:val="32"/>
        </w:rPr>
      </w:pPr>
      <w:r>
        <w:rPr>
          <w:rFonts w:hint="eastAsia" w:ascii="仿宋_GB2312" w:eastAsia="仿宋_GB2312"/>
          <w:b/>
          <w:bCs/>
          <w:sz w:val="32"/>
          <w:szCs w:val="32"/>
        </w:rPr>
        <w:t>戏剧与影视</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天津现当代戏剧理论与批评研究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当代戏剧舞台美术研究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3.戏剧经典剧目研究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4.天津戏剧批评研究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5.天津戏剧艺术家研究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歌剧、音乐剧研究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7.</w:t>
      </w:r>
      <w:r>
        <w:rPr>
          <w:rFonts w:hint="eastAsia" w:ascii="仿宋_GB2312" w:eastAsia="仿宋_GB2312"/>
          <w:sz w:val="32"/>
          <w:szCs w:val="32"/>
        </w:rPr>
        <w:t>儿童剧研究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8.网络视频节目研究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9.电视剧创作研究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10.天津全域城市旅游的影视嵌入研究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天津动画发展史研究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12.天津影视动画创作及理论研究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新时代电视娱乐栏目的文化取向研究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14.数智时代优秀传统文化的视听创新研究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新时代天津电影产业发展路径与模式研究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天津电影空间文化研究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17.</w:t>
      </w:r>
      <w:r>
        <w:rPr>
          <w:rFonts w:hint="eastAsia" w:ascii="仿宋_GB2312" w:eastAsia="仿宋_GB2312"/>
          <w:sz w:val="32"/>
          <w:szCs w:val="32"/>
        </w:rPr>
        <w:t>津产影视海外营销与传播研究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18.天津电影创作与制作生态研究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19.天津城市形象与电影生产机制研究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20.影视作品中的“天津人”研究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21.</w:t>
      </w:r>
      <w:r>
        <w:rPr>
          <w:rFonts w:hint="eastAsia" w:ascii="仿宋_GB2312" w:eastAsia="仿宋_GB2312"/>
          <w:sz w:val="32"/>
          <w:szCs w:val="32"/>
        </w:rPr>
        <w:t>新媒体艺术研究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22.</w:t>
      </w:r>
      <w:r>
        <w:rPr>
          <w:rFonts w:hint="eastAsia" w:ascii="仿宋_GB2312" w:eastAsia="仿宋_GB2312"/>
          <w:sz w:val="32"/>
          <w:szCs w:val="32"/>
        </w:rPr>
        <w:t>天津数字艺术创作实践与评价体系研究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23.天津传媒艺术发展理论与实践研究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24.短视频现状与发展研究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25.天津纪录片现状与发展研究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b/>
          <w:bCs/>
          <w:sz w:val="32"/>
          <w:szCs w:val="32"/>
        </w:rPr>
      </w:pPr>
    </w:p>
    <w:p>
      <w:pPr>
        <w:keepNext w:val="0"/>
        <w:keepLines w:val="0"/>
        <w:pageBreakBefore w:val="0"/>
        <w:widowControl w:val="0"/>
        <w:kinsoku/>
        <w:wordWrap/>
        <w:overflowPunct/>
        <w:topLinePunct w:val="0"/>
        <w:autoSpaceDE/>
        <w:autoSpaceDN/>
        <w:bidi w:val="0"/>
        <w:spacing w:line="600" w:lineRule="exact"/>
        <w:ind w:firstLine="645"/>
        <w:jc w:val="center"/>
        <w:textAlignment w:val="auto"/>
        <w:outlineLvl w:val="9"/>
        <w:rPr>
          <w:rFonts w:ascii="仿宋_GB2312" w:eastAsia="仿宋_GB2312"/>
          <w:b/>
          <w:bCs/>
          <w:sz w:val="32"/>
          <w:szCs w:val="32"/>
        </w:rPr>
      </w:pPr>
      <w:r>
        <w:rPr>
          <w:rFonts w:hint="eastAsia" w:ascii="仿宋_GB2312" w:eastAsia="仿宋_GB2312"/>
          <w:b/>
          <w:bCs/>
          <w:sz w:val="32"/>
          <w:szCs w:val="32"/>
        </w:rPr>
        <w:t>音乐与舞蹈</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1.天津近现代音乐研究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2.天津民间音乐研究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3.天津音乐生态研究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4.天津音乐家研究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5.天津红色音乐文化研究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6.西方音乐对近代天津文化的影响研究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7.音乐评论的理论与实践研究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音乐创作与表演研究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9.舞蹈历史与理论研究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10.舞蹈批评研究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11.杂技创作与表演研究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天津现当代舞剧理论与实践研究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天津民间舞蹈研究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天津舞剧创作与表演研究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15.群众舞蹈活动研究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西方舞蹈对近代天津文化的影响研究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17.舞蹈新文艺组织和新文艺群体研究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18.融媒体与舞蹈传播研究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19.舞蹈著作权保护研究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600" w:lineRule="exact"/>
        <w:ind w:firstLine="645"/>
        <w:jc w:val="center"/>
        <w:textAlignment w:val="auto"/>
        <w:outlineLvl w:val="9"/>
        <w:rPr>
          <w:rFonts w:ascii="仿宋_GB2312" w:eastAsia="仿宋_GB2312"/>
          <w:b/>
          <w:bCs/>
          <w:sz w:val="32"/>
          <w:szCs w:val="32"/>
        </w:rPr>
      </w:pPr>
      <w:r>
        <w:rPr>
          <w:rFonts w:hint="eastAsia" w:ascii="仿宋_GB2312" w:eastAsia="仿宋_GB2312"/>
          <w:b/>
          <w:bCs/>
          <w:sz w:val="32"/>
          <w:szCs w:val="32"/>
        </w:rPr>
        <w:t>美术与设计</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lang w:val="zh-CN"/>
        </w:rPr>
      </w:pPr>
      <w:r>
        <w:rPr>
          <w:rFonts w:hint="eastAsia" w:ascii="仿宋_GB2312" w:hAnsi="仿宋_GB2312" w:eastAsia="仿宋_GB2312" w:cs="仿宋_GB2312"/>
          <w:sz w:val="32"/>
          <w:szCs w:val="32"/>
        </w:rPr>
        <w:t>1.革命题材美术作品研究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lang w:val="zh-CN"/>
        </w:rPr>
      </w:pPr>
      <w:r>
        <w:rPr>
          <w:rFonts w:hint="eastAsia" w:ascii="仿宋_GB2312" w:hAnsi="仿宋_GB2312" w:eastAsia="仿宋_GB2312" w:cs="仿宋_GB2312"/>
          <w:sz w:val="32"/>
          <w:szCs w:val="32"/>
        </w:rPr>
        <w:t>2.</w:t>
      </w:r>
      <w:r>
        <w:rPr>
          <w:rFonts w:hint="eastAsia" w:ascii="仿宋_GB2312" w:eastAsia="仿宋_GB2312"/>
          <w:sz w:val="32"/>
          <w:szCs w:val="32"/>
          <w:lang w:val="zh-CN"/>
        </w:rPr>
        <w:t>美术遗产与地域文化研究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3.美术史专题研究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4.中国书法研究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5.美术馆学研究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6.艺术设计史研究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7.艺术策展机制与人才培养研究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8.新媒体艺术设计研究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9.旅游文创产品设计研究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10.设计批评理论与方法研究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设计艺术与文化创意产业发展研究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lang w:val="zh-CN"/>
        </w:rPr>
      </w:pPr>
      <w:r>
        <w:rPr>
          <w:rFonts w:hint="eastAsia" w:ascii="仿宋_GB2312" w:hAnsi="仿宋_GB2312" w:eastAsia="仿宋_GB2312" w:cs="仿宋_GB2312"/>
          <w:sz w:val="32"/>
          <w:szCs w:val="32"/>
        </w:rPr>
        <w:t>12.</w:t>
      </w:r>
      <w:r>
        <w:rPr>
          <w:rFonts w:hint="eastAsia" w:ascii="仿宋_GB2312" w:eastAsia="仿宋_GB2312"/>
          <w:sz w:val="32"/>
          <w:szCs w:val="32"/>
        </w:rPr>
        <w:t>天津现当代</w:t>
      </w:r>
      <w:r>
        <w:rPr>
          <w:rFonts w:hint="eastAsia" w:ascii="仿宋_GB2312" w:eastAsia="仿宋_GB2312"/>
          <w:sz w:val="32"/>
          <w:szCs w:val="32"/>
          <w:lang w:val="zh-CN"/>
        </w:rPr>
        <w:t>美术创作</w:t>
      </w:r>
      <w:r>
        <w:rPr>
          <w:rFonts w:hint="eastAsia" w:ascii="仿宋_GB2312" w:eastAsia="仿宋_GB2312"/>
          <w:sz w:val="32"/>
          <w:szCs w:val="32"/>
        </w:rPr>
        <w:t>与理论</w:t>
      </w:r>
      <w:r>
        <w:rPr>
          <w:rFonts w:hint="eastAsia" w:ascii="仿宋_GB2312" w:eastAsia="仿宋_GB2312"/>
          <w:sz w:val="32"/>
          <w:szCs w:val="32"/>
          <w:lang w:val="zh-CN"/>
        </w:rPr>
        <w:t>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摄影艺术研究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动漫艺术研究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天津民间美术与非物质文化遗产的传承研究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lang w:val="zh-CN"/>
        </w:rPr>
      </w:pPr>
      <w:r>
        <w:rPr>
          <w:rFonts w:hint="eastAsia" w:ascii="仿宋_GB2312" w:hAnsi="仿宋_GB2312" w:eastAsia="仿宋_GB2312" w:cs="仿宋_GB2312"/>
          <w:sz w:val="32"/>
          <w:szCs w:val="32"/>
        </w:rPr>
        <w:t>16.</w:t>
      </w:r>
      <w:r>
        <w:rPr>
          <w:rFonts w:hint="eastAsia" w:ascii="仿宋_GB2312" w:eastAsia="仿宋_GB2312"/>
          <w:sz w:val="32"/>
          <w:szCs w:val="32"/>
          <w:lang w:val="zh-CN"/>
        </w:rPr>
        <w:t>地域文化与建筑形式语言研究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17.</w:t>
      </w:r>
      <w:r>
        <w:rPr>
          <w:rFonts w:hint="eastAsia" w:ascii="仿宋_GB2312" w:eastAsia="仿宋_GB2312"/>
          <w:sz w:val="32"/>
          <w:szCs w:val="32"/>
        </w:rPr>
        <w:t>近代天津建筑艺术及设计师研究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18.</w:t>
      </w:r>
      <w:r>
        <w:rPr>
          <w:rFonts w:hint="eastAsia" w:ascii="仿宋_GB2312" w:eastAsia="仿宋_GB2312"/>
          <w:sz w:val="32"/>
          <w:szCs w:val="32"/>
        </w:rPr>
        <w:t>天津城市艺术空间研究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19.天津城市影像空间与形象建构研究</w:t>
      </w:r>
    </w:p>
    <w:p>
      <w:pPr>
        <w:keepNext w:val="0"/>
        <w:keepLines w:val="0"/>
        <w:pageBreakBefore w:val="0"/>
        <w:widowControl w:val="0"/>
        <w:kinsoku/>
        <w:wordWrap/>
        <w:overflowPunct/>
        <w:topLinePunct w:val="0"/>
        <w:autoSpaceDE/>
        <w:autoSpaceDN/>
        <w:bidi w:val="0"/>
        <w:spacing w:line="600" w:lineRule="exact"/>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spacing w:line="600" w:lineRule="exact"/>
        <w:ind w:firstLine="645"/>
        <w:jc w:val="center"/>
        <w:textAlignment w:val="auto"/>
        <w:outlineLvl w:val="9"/>
        <w:rPr>
          <w:rFonts w:ascii="仿宋_GB2312" w:eastAsia="仿宋_GB2312"/>
          <w:b/>
          <w:bCs/>
          <w:sz w:val="32"/>
          <w:szCs w:val="32"/>
        </w:rPr>
      </w:pPr>
      <w:r>
        <w:rPr>
          <w:rFonts w:hint="eastAsia" w:ascii="仿宋_GB2312" w:eastAsia="仿宋_GB2312"/>
          <w:b/>
          <w:bCs/>
          <w:sz w:val="32"/>
          <w:szCs w:val="32"/>
        </w:rPr>
        <w:t>图书馆、博物馆及公共文化</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图书馆与全民阅读活动策略研究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公共数字文化工程融合创新发展研究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公共图书馆服务大众文化发展路径研究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4.</w:t>
      </w:r>
      <w:r>
        <w:rPr>
          <w:rFonts w:hint="eastAsia" w:ascii="仿宋_GB2312" w:eastAsia="仿宋_GB2312"/>
          <w:sz w:val="32"/>
          <w:szCs w:val="32"/>
        </w:rPr>
        <w:t>博物馆建设研究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5.</w:t>
      </w:r>
      <w:r>
        <w:rPr>
          <w:rFonts w:hint="eastAsia" w:ascii="仿宋_GB2312" w:eastAsia="仿宋_GB2312"/>
          <w:sz w:val="32"/>
          <w:szCs w:val="32"/>
        </w:rPr>
        <w:t>博物馆教育与传播策略研究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博物馆展览策划机制体制研究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7.</w:t>
      </w:r>
      <w:r>
        <w:rPr>
          <w:rFonts w:hint="eastAsia" w:ascii="仿宋_GB2312" w:eastAsia="仿宋_GB2312"/>
          <w:sz w:val="32"/>
          <w:szCs w:val="32"/>
        </w:rPr>
        <w:t>京津冀乡村振兴与艺术空间文化建设研究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京津冀文化艺术资源信息库建设与应用研究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近现代报刊、典籍整理与开发研究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公共文化与科技融合发展研究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文化和旅游公共服务高质量发展研究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天津文化志愿者管理机制研究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天津新型公共文化空间建设研究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天津社区文化创新与建设研究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15.区级公共图书馆、乡镇（街道）综合性文化中心、农村（社区）书屋书吧三级总分馆服务体系建设研究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spacing w:line="600" w:lineRule="exact"/>
        <w:ind w:left="420"/>
        <w:jc w:val="center"/>
        <w:textAlignment w:val="auto"/>
        <w:outlineLvl w:val="9"/>
        <w:rPr>
          <w:rFonts w:ascii="仿宋_GB2312" w:eastAsia="仿宋_GB2312"/>
          <w:sz w:val="32"/>
          <w:szCs w:val="32"/>
        </w:rPr>
      </w:pPr>
      <w:r>
        <w:rPr>
          <w:rFonts w:hint="eastAsia" w:ascii="仿宋_GB2312" w:eastAsia="仿宋_GB2312"/>
          <w:b/>
          <w:bCs/>
          <w:sz w:val="32"/>
          <w:szCs w:val="32"/>
        </w:rPr>
        <w:t>综合性研究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文化创新体系的理论架构与实践模型研究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w:t>
      </w:r>
      <w:r>
        <w:rPr>
          <w:rFonts w:hint="eastAsia" w:ascii="仿宋_GB2312" w:eastAsia="仿宋_GB2312"/>
          <w:sz w:val="32"/>
          <w:szCs w:val="32"/>
        </w:rPr>
        <w:t>文化产业提振文化消费研究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文化产业发展方式转变与创新研究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4.文化产业和旅游业的中国式现代化发展战略研究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5.</w:t>
      </w:r>
      <w:r>
        <w:rPr>
          <w:rFonts w:hint="eastAsia" w:ascii="仿宋_GB2312" w:eastAsia="仿宋_GB2312"/>
          <w:sz w:val="32"/>
          <w:szCs w:val="32"/>
        </w:rPr>
        <w:t>文化市场监管体制机制建设研究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6.</w:t>
      </w:r>
      <w:r>
        <w:rPr>
          <w:rFonts w:hint="eastAsia" w:ascii="仿宋_GB2312" w:eastAsia="仿宋_GB2312"/>
          <w:sz w:val="32"/>
          <w:szCs w:val="32"/>
        </w:rPr>
        <w:t>国有文化资产管理体制与运营方式研究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7.</w:t>
      </w:r>
      <w:r>
        <w:rPr>
          <w:rFonts w:hint="eastAsia" w:ascii="仿宋_GB2312" w:eastAsia="仿宋_GB2312"/>
          <w:sz w:val="32"/>
          <w:szCs w:val="32"/>
        </w:rPr>
        <w:t>文物保护与文物市场管理研究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8.</w:t>
      </w:r>
      <w:r>
        <w:rPr>
          <w:rFonts w:hint="eastAsia" w:ascii="仿宋_GB2312" w:eastAsia="仿宋_GB2312"/>
          <w:sz w:val="32"/>
          <w:szCs w:val="32"/>
        </w:rPr>
        <w:t>文化艺术作品的知识产权研究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9.</w:t>
      </w:r>
      <w:r>
        <w:rPr>
          <w:rFonts w:hint="eastAsia" w:ascii="仿宋_GB2312" w:eastAsia="仿宋_GB2312"/>
          <w:sz w:val="32"/>
          <w:szCs w:val="32"/>
        </w:rPr>
        <w:t>艺术学视角下的非物质文化遗产学研究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10.</w:t>
      </w:r>
      <w:r>
        <w:rPr>
          <w:rFonts w:hint="eastAsia" w:ascii="仿宋_GB2312" w:eastAsia="仿宋_GB2312"/>
          <w:sz w:val="32"/>
          <w:szCs w:val="32"/>
        </w:rPr>
        <w:t>非物质文化遗产口述史研究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11.</w:t>
      </w:r>
      <w:r>
        <w:rPr>
          <w:rFonts w:hint="eastAsia" w:ascii="仿宋_GB2312" w:eastAsia="仿宋_GB2312"/>
          <w:sz w:val="32"/>
          <w:szCs w:val="32"/>
        </w:rPr>
        <w:t>大运河非遗保护传承与利用研究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12.</w:t>
      </w:r>
      <w:r>
        <w:rPr>
          <w:rFonts w:hint="eastAsia" w:ascii="仿宋_GB2312" w:eastAsia="仿宋_GB2312"/>
          <w:sz w:val="32"/>
          <w:szCs w:val="32"/>
        </w:rPr>
        <w:t>天津城市历史文化遗产保护与传承研究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13.</w:t>
      </w:r>
      <w:r>
        <w:rPr>
          <w:rFonts w:hint="eastAsia" w:ascii="仿宋_GB2312" w:eastAsia="仿宋_GB2312"/>
          <w:sz w:val="32"/>
          <w:szCs w:val="32"/>
        </w:rPr>
        <w:t>天津文商旅体融合发展研究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14.</w:t>
      </w:r>
      <w:r>
        <w:rPr>
          <w:rFonts w:hint="eastAsia" w:ascii="仿宋_GB2312" w:eastAsia="仿宋_GB2312"/>
          <w:sz w:val="32"/>
          <w:szCs w:val="32"/>
        </w:rPr>
        <w:t>天津对外文化艺术交流战略研究</w:t>
      </w:r>
    </w:p>
    <w:p>
      <w:pPr>
        <w:keepNext w:val="0"/>
        <w:keepLines w:val="0"/>
        <w:pageBreakBefore w:val="0"/>
        <w:widowControl w:val="0"/>
        <w:kinsoku/>
        <w:wordWrap/>
        <w:overflowPunct/>
        <w:topLinePunct w:val="0"/>
        <w:autoSpaceDE/>
        <w:autoSpaceDN/>
        <w:bidi w:val="0"/>
        <w:spacing w:line="600" w:lineRule="exact"/>
        <w:ind w:firstLine="606" w:firstLineChars="200"/>
        <w:textAlignment w:val="auto"/>
        <w:outlineLvl w:val="9"/>
        <w:rPr>
          <w:rFonts w:ascii="仿宋_GB2312" w:eastAsia="仿宋_GB2312"/>
          <w:sz w:val="32"/>
          <w:szCs w:val="32"/>
        </w:rPr>
      </w:pPr>
      <w:r>
        <w:rPr>
          <w:rFonts w:hint="eastAsia" w:ascii="仿宋_GB2312" w:hAnsi="仿宋_GB2312" w:eastAsia="仿宋_GB2312" w:cs="仿宋_GB2312"/>
          <w:sz w:val="32"/>
          <w:szCs w:val="32"/>
        </w:rPr>
        <w:t>15.</w:t>
      </w:r>
      <w:r>
        <w:rPr>
          <w:rFonts w:hint="eastAsia" w:ascii="仿宋_GB2312" w:eastAsia="仿宋_GB2312"/>
          <w:sz w:val="32"/>
          <w:szCs w:val="32"/>
        </w:rPr>
        <w:t>“一带一路”背景下天津参与国际文旅合作与交流研究</w:t>
      </w:r>
    </w:p>
    <w:p>
      <w:pPr>
        <w:keepNext w:val="0"/>
        <w:keepLines w:val="0"/>
        <w:pageBreakBefore w:val="0"/>
        <w:widowControl w:val="0"/>
        <w:kinsoku/>
        <w:wordWrap/>
        <w:overflowPunct/>
        <w:topLinePunct w:val="0"/>
        <w:autoSpaceDE/>
        <w:autoSpaceDN/>
        <w:bidi w:val="0"/>
        <w:spacing w:line="600" w:lineRule="exact"/>
        <w:ind w:firstLine="606" w:firstLineChars="200"/>
        <w:textAlignment w:val="auto"/>
        <w:outlineLvl w:val="9"/>
        <w:rPr>
          <w:rFonts w:ascii="仿宋_GB2312" w:eastAsia="仿宋_GB2312"/>
          <w:sz w:val="32"/>
          <w:szCs w:val="32"/>
        </w:rPr>
      </w:pPr>
      <w:r>
        <w:rPr>
          <w:rFonts w:hint="eastAsia" w:ascii="仿宋_GB2312" w:hAnsi="仿宋_GB2312" w:eastAsia="仿宋_GB2312" w:cs="仿宋_GB2312"/>
          <w:sz w:val="32"/>
          <w:szCs w:val="32"/>
        </w:rPr>
        <w:t>16.</w:t>
      </w:r>
      <w:r>
        <w:rPr>
          <w:rFonts w:hint="eastAsia" w:ascii="仿宋_GB2312" w:eastAsia="仿宋_GB2312"/>
          <w:sz w:val="32"/>
          <w:szCs w:val="32"/>
        </w:rPr>
        <w:t>天津市文化创意产业发展策略研究</w:t>
      </w:r>
    </w:p>
    <w:p>
      <w:pPr>
        <w:keepNext w:val="0"/>
        <w:keepLines w:val="0"/>
        <w:pageBreakBefore w:val="0"/>
        <w:widowControl w:val="0"/>
        <w:kinsoku/>
        <w:wordWrap/>
        <w:overflowPunct/>
        <w:topLinePunct w:val="0"/>
        <w:autoSpaceDE/>
        <w:autoSpaceDN/>
        <w:bidi w:val="0"/>
        <w:spacing w:line="600" w:lineRule="exact"/>
        <w:ind w:firstLine="606" w:firstLineChars="200"/>
        <w:textAlignment w:val="auto"/>
        <w:outlineLvl w:val="9"/>
        <w:rPr>
          <w:rFonts w:ascii="仿宋_GB2312" w:eastAsia="仿宋_GB2312"/>
          <w:sz w:val="32"/>
          <w:szCs w:val="32"/>
        </w:rPr>
      </w:pPr>
      <w:r>
        <w:rPr>
          <w:rFonts w:hint="eastAsia" w:ascii="仿宋_GB2312" w:hAnsi="仿宋_GB2312" w:eastAsia="仿宋_GB2312" w:cs="仿宋_GB2312"/>
          <w:sz w:val="32"/>
          <w:szCs w:val="32"/>
        </w:rPr>
        <w:t>17.</w:t>
      </w:r>
      <w:r>
        <w:rPr>
          <w:rFonts w:hint="eastAsia" w:ascii="仿宋_GB2312" w:eastAsia="仿宋_GB2312"/>
          <w:sz w:val="32"/>
          <w:szCs w:val="32"/>
        </w:rPr>
        <w:t>天津文化产品和服务供给侧改革对策研究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18.</w:t>
      </w:r>
      <w:r>
        <w:rPr>
          <w:rFonts w:hint="eastAsia" w:ascii="仿宋_GB2312" w:eastAsia="仿宋_GB2312"/>
          <w:sz w:val="32"/>
          <w:szCs w:val="32"/>
        </w:rPr>
        <w:t>天津文化文物单位文化创意产品开发体制机制研究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19.</w:t>
      </w:r>
      <w:r>
        <w:rPr>
          <w:rFonts w:hint="eastAsia" w:ascii="仿宋_GB2312" w:eastAsia="仿宋_GB2312"/>
          <w:sz w:val="32"/>
          <w:szCs w:val="32"/>
        </w:rPr>
        <w:t>天津艺术交易市场现状研究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20.</w:t>
      </w:r>
      <w:r>
        <w:rPr>
          <w:rFonts w:hint="eastAsia" w:ascii="仿宋_GB2312" w:eastAsia="仿宋_GB2312"/>
          <w:sz w:val="32"/>
          <w:szCs w:val="32"/>
        </w:rPr>
        <w:t>天津文艺院团管理运营机制研究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21.</w:t>
      </w:r>
      <w:r>
        <w:rPr>
          <w:rFonts w:hint="eastAsia" w:ascii="仿宋_GB2312" w:eastAsia="仿宋_GB2312"/>
          <w:sz w:val="32"/>
          <w:szCs w:val="32"/>
        </w:rPr>
        <w:t xml:space="preserve">天津沉浸式演出创作研究 </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22.</w:t>
      </w:r>
      <w:r>
        <w:rPr>
          <w:rFonts w:hint="eastAsia" w:ascii="仿宋_GB2312" w:eastAsia="仿宋_GB2312"/>
          <w:sz w:val="32"/>
          <w:szCs w:val="32"/>
        </w:rPr>
        <w:t>天津旅游品牌创新发展研究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23.</w:t>
      </w:r>
      <w:r>
        <w:rPr>
          <w:rFonts w:hint="eastAsia" w:ascii="仿宋_GB2312" w:eastAsia="仿宋_GB2312"/>
          <w:sz w:val="32"/>
          <w:szCs w:val="32"/>
        </w:rPr>
        <w:t>双城艺术空间与未来建设发展策略研究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24.</w:t>
      </w:r>
      <w:r>
        <w:rPr>
          <w:rFonts w:hint="eastAsia" w:ascii="仿宋_GB2312" w:eastAsia="仿宋_GB2312"/>
          <w:sz w:val="32"/>
          <w:szCs w:val="32"/>
        </w:rPr>
        <w:t>网络消费模式与天津双城建设中艺术经济发展研究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25.</w:t>
      </w:r>
      <w:r>
        <w:rPr>
          <w:rFonts w:hint="eastAsia" w:ascii="仿宋_GB2312" w:eastAsia="仿宋_GB2312"/>
          <w:sz w:val="32"/>
          <w:szCs w:val="32"/>
        </w:rPr>
        <w:t>天津非物质文化遗产文化基因挖掘研究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26.</w:t>
      </w:r>
      <w:r>
        <w:rPr>
          <w:rFonts w:hint="eastAsia" w:ascii="仿宋_GB2312" w:eastAsia="仿宋_GB2312"/>
          <w:sz w:val="32"/>
          <w:szCs w:val="32"/>
        </w:rPr>
        <w:t>天津非物质文化遗产项目保护与传承研究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27.</w:t>
      </w:r>
      <w:r>
        <w:rPr>
          <w:rFonts w:hint="eastAsia" w:ascii="仿宋_GB2312" w:eastAsia="仿宋_GB2312"/>
          <w:sz w:val="32"/>
          <w:szCs w:val="32"/>
        </w:rPr>
        <w:t>天津非遗代表性项目传承保护绩效评价机制体制研究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hAnsi="仿宋_GB2312" w:eastAsia="仿宋_GB2312" w:cs="仿宋_GB2312"/>
          <w:sz w:val="32"/>
          <w:szCs w:val="32"/>
        </w:rPr>
        <w:t>28.</w:t>
      </w:r>
      <w:r>
        <w:rPr>
          <w:rFonts w:hint="eastAsia" w:ascii="仿宋_GB2312" w:eastAsia="仿宋_GB2312"/>
          <w:sz w:val="32"/>
          <w:szCs w:val="32"/>
        </w:rPr>
        <w:t>天津非遗与旅游深度融合发展研究</w:t>
      </w:r>
    </w:p>
    <w:p>
      <w:pPr>
        <w:keepNext w:val="0"/>
        <w:keepLines w:val="0"/>
        <w:pageBreakBefore w:val="0"/>
        <w:widowControl w:val="0"/>
        <w:kinsoku/>
        <w:wordWrap/>
        <w:overflowPunct/>
        <w:topLinePunct w:val="0"/>
        <w:autoSpaceDE/>
        <w:autoSpaceDN/>
        <w:bidi w:val="0"/>
        <w:spacing w:line="600" w:lineRule="exact"/>
        <w:ind w:firstLine="645"/>
        <w:textAlignment w:val="auto"/>
        <w:outlineLvl w:val="9"/>
        <w:rPr>
          <w:rFonts w:ascii="仿宋_GB2312" w:eastAsia="仿宋_GB2312"/>
          <w:sz w:val="32"/>
          <w:szCs w:val="32"/>
        </w:rPr>
      </w:pPr>
      <w:r>
        <w:rPr>
          <w:rFonts w:hint="eastAsia" w:ascii="仿宋_GB2312" w:eastAsia="仿宋_GB2312"/>
          <w:sz w:val="32"/>
          <w:szCs w:val="32"/>
        </w:rPr>
        <w:t>29.旅游集散中心建设管理与发展研究报告</w:t>
      </w:r>
      <w:r>
        <w:rPr>
          <w:rFonts w:hint="eastAsia" w:ascii="仿宋" w:hAnsi="仿宋" w:eastAsia="仿宋" w:cs="仿宋"/>
          <w:sz w:val="32"/>
          <w:szCs w:val="32"/>
        </w:rPr>
        <w:t xml:space="preserve">      </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path/>
          <v:fill on="f" focussize="0,0"/>
          <v:stroke on="f" joinstyle="miter"/>
          <v:imagedata o:title=""/>
          <o:lock v:ext="edit"/>
          <v:textbox inset="0mm,0mm,0mm,0mm" style="mso-fit-shape-to-text:t;">
            <w:txbxContent>
              <w:p>
                <w:pPr>
                  <w:pStyle w:val="3"/>
                  <w:spacing w:line="280" w:lineRule="exact"/>
                  <w:jc w:val="center"/>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- 6 -</w:t>
                </w:r>
                <w:r>
                  <w:rPr>
                    <w:rFonts w:ascii="宋体" w:hAns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6B50B4"/>
    <w:multiLevelType w:val="singleLevel"/>
    <w:tmpl w:val="C26B50B4"/>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zNTJlMWFjOGIyYjZjZWU5ZjlkMTQwYzU3NTExOTQifQ=="/>
  </w:docVars>
  <w:rsids>
    <w:rsidRoot w:val="5D113FA6"/>
    <w:rsid w:val="002D7216"/>
    <w:rsid w:val="003D2AD5"/>
    <w:rsid w:val="006F33BB"/>
    <w:rsid w:val="009F6539"/>
    <w:rsid w:val="01150F77"/>
    <w:rsid w:val="032F3990"/>
    <w:rsid w:val="03DD1325"/>
    <w:rsid w:val="056E3A92"/>
    <w:rsid w:val="07F90F9C"/>
    <w:rsid w:val="0C5B79FB"/>
    <w:rsid w:val="163F2A25"/>
    <w:rsid w:val="18B37581"/>
    <w:rsid w:val="1A2F291C"/>
    <w:rsid w:val="1A5A0EE8"/>
    <w:rsid w:val="1CAE33DD"/>
    <w:rsid w:val="1F543AF4"/>
    <w:rsid w:val="1F57286B"/>
    <w:rsid w:val="236209F8"/>
    <w:rsid w:val="24134467"/>
    <w:rsid w:val="24483FEA"/>
    <w:rsid w:val="245E1F8E"/>
    <w:rsid w:val="2838786A"/>
    <w:rsid w:val="2F285100"/>
    <w:rsid w:val="3C480D0F"/>
    <w:rsid w:val="4A1B655F"/>
    <w:rsid w:val="4C4F5B63"/>
    <w:rsid w:val="4E3837A7"/>
    <w:rsid w:val="4FC96A80"/>
    <w:rsid w:val="5244494E"/>
    <w:rsid w:val="54C20B7D"/>
    <w:rsid w:val="562A5304"/>
    <w:rsid w:val="563561C7"/>
    <w:rsid w:val="574D4D42"/>
    <w:rsid w:val="578E65CA"/>
    <w:rsid w:val="5D113FA6"/>
    <w:rsid w:val="5DE07001"/>
    <w:rsid w:val="5F0E2E42"/>
    <w:rsid w:val="609E67AF"/>
    <w:rsid w:val="60B57F7E"/>
    <w:rsid w:val="62103A24"/>
    <w:rsid w:val="6801222B"/>
    <w:rsid w:val="70825749"/>
    <w:rsid w:val="79FFF4E3"/>
    <w:rsid w:val="DA5F23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仿宋" w:asciiTheme="minorHAnsi" w:hAnsiTheme="minorHAnsi"/>
      <w:b/>
      <w:kern w:val="44"/>
      <w:sz w:val="32"/>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8">
    <w:name w:val="Char Char"/>
    <w:basedOn w:val="1"/>
    <w:qFormat/>
    <w:uiPriority w:val="0"/>
  </w:style>
  <w:style w:type="paragraph" w:customStyle="1" w:styleId="9">
    <w:name w:val="列出段落1"/>
    <w:basedOn w:val="1"/>
    <w:qFormat/>
    <w:uiPriority w:val="0"/>
    <w:pPr>
      <w:ind w:firstLine="420" w:firstLineChars="200"/>
    </w:pPr>
    <w:rPr>
      <w:rFonts w:ascii="Times New Roman" w:hAnsi="Times New Roman"/>
    </w:rPr>
  </w:style>
  <w:style w:type="character" w:customStyle="1" w:styleId="10">
    <w:name w:val="页眉 Char"/>
    <w:basedOn w:val="5"/>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574</Words>
  <Characters>3277</Characters>
  <Lines>27</Lines>
  <Paragraphs>7</Paragraphs>
  <TotalTime>2</TotalTime>
  <ScaleCrop>false</ScaleCrop>
  <LinksUpToDate>false</LinksUpToDate>
  <CharactersWithSpaces>3844</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2023-06-07T00:03:00Z</dcterms:created>
  <dc:creator>yys-10</dc:creator>
  <cp:lastModifiedBy>yys-10</cp:lastModifiedBy>
  <cp:lastPrinted>2023-09-08T15:16:00Z</cp:lastPrinted>
  <dcterms:modified xsi:type="dcterms:W3CDTF">2023-09-13T06:34:11Z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890AC7DB0AF14F6A9AE049B91EEEFB05_13</vt:lpwstr>
  </property>
</Properties>
</file>